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ADF2" w14:textId="77777777" w:rsidR="00310389" w:rsidRPr="006251BB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6251BB">
        <w:rPr>
          <w:sz w:val="20"/>
          <w:lang w:val="en-US"/>
        </w:rPr>
        <w:t>Andreas Breyer</w:t>
      </w:r>
      <w:r w:rsidRPr="006251BB">
        <w:rPr>
          <w:sz w:val="20"/>
          <w:lang w:val="en-US"/>
        </w:rPr>
        <w:br/>
        <w:t xml:space="preserve"> </w:t>
      </w:r>
      <w:r w:rsidRPr="006251BB">
        <w:rPr>
          <w:sz w:val="20"/>
          <w:lang w:val="en-US"/>
        </w:rPr>
        <w:tab/>
      </w:r>
      <w:r w:rsidRPr="006251BB">
        <w:rPr>
          <w:sz w:val="20"/>
          <w:lang w:val="en-US"/>
        </w:rPr>
        <w:tab/>
        <w:t>Manager Media Relations</w:t>
      </w:r>
      <w:r w:rsidRPr="006251BB">
        <w:rPr>
          <w:sz w:val="20"/>
          <w:lang w:val="en-US"/>
        </w:rPr>
        <w:br/>
      </w:r>
      <w:r w:rsidRPr="006251BB">
        <w:rPr>
          <w:sz w:val="20"/>
          <w:lang w:val="en-US"/>
        </w:rPr>
        <w:br/>
      </w:r>
      <w:r w:rsidRPr="006251BB">
        <w:rPr>
          <w:sz w:val="16"/>
          <w:szCs w:val="16"/>
          <w:lang w:val="en-US"/>
        </w:rPr>
        <w:t xml:space="preserve"> </w:t>
      </w:r>
      <w:r w:rsidRPr="006251BB">
        <w:rPr>
          <w:sz w:val="16"/>
          <w:szCs w:val="16"/>
          <w:lang w:val="en-US"/>
        </w:rPr>
        <w:tab/>
        <w:t>Mobile</w:t>
      </w:r>
      <w:r w:rsidRPr="006251BB">
        <w:rPr>
          <w:sz w:val="20"/>
          <w:lang w:val="en-US"/>
        </w:rPr>
        <w:tab/>
        <w:t>+49 151 1242 8585</w:t>
      </w:r>
      <w:r w:rsidRPr="006251BB">
        <w:rPr>
          <w:sz w:val="20"/>
          <w:lang w:val="en-US"/>
        </w:rPr>
        <w:br/>
      </w:r>
      <w:r w:rsidRPr="006251BB">
        <w:rPr>
          <w:sz w:val="16"/>
          <w:szCs w:val="16"/>
          <w:lang w:val="en-US"/>
        </w:rPr>
        <w:t xml:space="preserve"> </w:t>
      </w:r>
      <w:r w:rsidRPr="006251BB">
        <w:rPr>
          <w:sz w:val="16"/>
          <w:szCs w:val="16"/>
          <w:lang w:val="en-US"/>
        </w:rPr>
        <w:tab/>
        <w:t>E-Mail</w:t>
      </w:r>
      <w:r w:rsidRPr="006251BB">
        <w:rPr>
          <w:sz w:val="20"/>
          <w:lang w:val="en-US"/>
        </w:rPr>
        <w:tab/>
        <w:t>press@emva.org</w:t>
      </w:r>
      <w:r w:rsidRPr="006251BB">
        <w:rPr>
          <w:sz w:val="20"/>
          <w:lang w:val="en-US"/>
        </w:rPr>
        <w:br/>
      </w:r>
      <w:r w:rsidRPr="006251BB">
        <w:rPr>
          <w:rFonts w:cs="Arial"/>
          <w:sz w:val="20"/>
          <w:lang w:val="en-US"/>
        </w:rPr>
        <w:tab/>
      </w:r>
    </w:p>
    <w:p w14:paraId="610EE73E" w14:textId="2432433F" w:rsidR="00310389" w:rsidRPr="006251BB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6251BB">
        <w:rPr>
          <w:rFonts w:cs="Arial"/>
          <w:sz w:val="20"/>
          <w:lang w:val="en-US"/>
        </w:rPr>
        <w:br/>
        <w:t xml:space="preserve"> </w:t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16"/>
          <w:szCs w:val="16"/>
          <w:lang w:val="en-US"/>
        </w:rPr>
        <w:t xml:space="preserve"> </w:t>
      </w:r>
      <w:r w:rsidRPr="006251BB">
        <w:rPr>
          <w:rFonts w:cs="Arial"/>
          <w:sz w:val="16"/>
          <w:szCs w:val="16"/>
          <w:lang w:val="en-US"/>
        </w:rPr>
        <w:tab/>
      </w:r>
      <w:r w:rsidRPr="006251BB">
        <w:rPr>
          <w:rFonts w:cs="Arial"/>
          <w:sz w:val="20"/>
          <w:lang w:val="en-US"/>
        </w:rPr>
        <w:br/>
      </w:r>
      <w:r w:rsidRPr="006251BB">
        <w:rPr>
          <w:rFonts w:cs="Arial"/>
          <w:sz w:val="16"/>
          <w:szCs w:val="16"/>
          <w:lang w:val="en-US"/>
        </w:rPr>
        <w:t xml:space="preserve"> </w:t>
      </w:r>
      <w:r w:rsidRPr="006251BB">
        <w:rPr>
          <w:rFonts w:cs="Arial"/>
          <w:sz w:val="16"/>
          <w:szCs w:val="16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  <w:r w:rsidRPr="006251BB">
        <w:rPr>
          <w:rFonts w:cs="Arial"/>
          <w:sz w:val="20"/>
          <w:lang w:val="en-US"/>
        </w:rPr>
        <w:tab/>
      </w:r>
    </w:p>
    <w:p w14:paraId="13CA168F" w14:textId="3AAB19CF" w:rsidR="00310389" w:rsidRPr="00FC3C66" w:rsidRDefault="00C35041">
      <w:pPr>
        <w:framePr w:w="4780" w:h="2353" w:hRule="exact" w:wrap="auto" w:vAnchor="page" w:hAnchor="page" w:x="1377" w:y="2713"/>
        <w:rPr>
          <w:rFonts w:cs="Arial"/>
        </w:rPr>
      </w:pPr>
      <w:r w:rsidRPr="00FC3C66">
        <w:br/>
      </w:r>
      <w:r w:rsidRPr="00FC3C66">
        <w:rPr>
          <w:b/>
          <w:sz w:val="28"/>
        </w:rPr>
        <w:t>PRESSEMITTEILUNG</w:t>
      </w:r>
      <w:r w:rsidRPr="00FC3C66">
        <w:br/>
      </w:r>
      <w:r w:rsidRPr="00FC3C66">
        <w:br/>
      </w:r>
      <w:r w:rsidRPr="00FC3C66">
        <w:rPr>
          <w:rFonts w:cs="Arial"/>
        </w:rPr>
        <w:br/>
      </w:r>
      <w:r w:rsidRPr="00FC3C66">
        <w:rPr>
          <w:rFonts w:cs="Arial"/>
        </w:rPr>
        <w:br/>
      </w:r>
      <w:r w:rsidRPr="00FC3C66">
        <w:rPr>
          <w:rFonts w:cs="Arial"/>
        </w:rPr>
        <w:br/>
      </w:r>
      <w:r w:rsidRPr="00FC3C66">
        <w:rPr>
          <w:rFonts w:cs="Arial"/>
        </w:rPr>
        <w:br/>
      </w:r>
    </w:p>
    <w:p w14:paraId="4AD0280B" w14:textId="312806B4" w:rsidR="00310389" w:rsidRPr="00FC3C66" w:rsidRDefault="00FC3C66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FC3C66">
        <w:rPr>
          <w:rFonts w:cs="Arial"/>
          <w:sz w:val="20"/>
        </w:rPr>
        <w:t>1</w:t>
      </w:r>
      <w:r w:rsidR="00C35041" w:rsidRPr="00FC3C66">
        <w:rPr>
          <w:rFonts w:cs="Arial"/>
          <w:sz w:val="20"/>
        </w:rPr>
        <w:t xml:space="preserve">. </w:t>
      </w:r>
      <w:r w:rsidR="00F919A0" w:rsidRPr="00FC3C66">
        <w:rPr>
          <w:rFonts w:cs="Arial"/>
          <w:sz w:val="20"/>
        </w:rPr>
        <w:t>März</w:t>
      </w:r>
      <w:r w:rsidR="00C35041" w:rsidRPr="00FC3C66">
        <w:rPr>
          <w:rFonts w:cs="Arial"/>
          <w:sz w:val="20"/>
        </w:rPr>
        <w:t xml:space="preserve"> 202</w:t>
      </w:r>
      <w:r w:rsidR="00987DB4" w:rsidRPr="00FC3C66">
        <w:rPr>
          <w:rFonts w:cs="Arial"/>
          <w:sz w:val="20"/>
        </w:rPr>
        <w:t>4</w:t>
      </w:r>
    </w:p>
    <w:p w14:paraId="2E9CFB66" w14:textId="77777777" w:rsidR="00310389" w:rsidRPr="00FC3C66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FC3C66" w:rsidRDefault="00C35041">
      <w:pPr>
        <w:spacing w:after="240"/>
        <w:ind w:hanging="993"/>
        <w:rPr>
          <w:rFonts w:cs="Arial"/>
        </w:rPr>
      </w:pPr>
      <w:r w:rsidRPr="00FC3C66">
        <w:rPr>
          <w:rFonts w:cs="Arial"/>
          <w:sz w:val="12"/>
          <w:szCs w:val="12"/>
        </w:rPr>
        <w:t>_</w:t>
      </w:r>
    </w:p>
    <w:p w14:paraId="62EA080C" w14:textId="77777777" w:rsidR="00310389" w:rsidRPr="00FC3C66" w:rsidRDefault="00310389">
      <w:pPr>
        <w:sectPr w:rsidR="00310389" w:rsidRPr="00FC3C66" w:rsidSect="0097533A">
          <w:headerReference w:type="default" r:id="rId10"/>
          <w:headerReference w:type="first" r:id="rId11"/>
          <w:footerReference w:type="first" r:id="rId12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45D2EE3" w14:textId="0E77E2FB" w:rsidR="00755E99" w:rsidRDefault="00755E99" w:rsidP="00794B3E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bidi="ar-SA"/>
        </w:rPr>
      </w:pPr>
      <w:proofErr w:type="spellStart"/>
      <w:r w:rsidRPr="00F919A0">
        <w:rPr>
          <w:rFonts w:cs="Arial"/>
          <w:b/>
          <w:sz w:val="28"/>
          <w:szCs w:val="28"/>
          <w:lang w:bidi="ar-SA"/>
        </w:rPr>
        <w:t>LogiMAT</w:t>
      </w:r>
      <w:proofErr w:type="spellEnd"/>
      <w:r w:rsidRPr="00F919A0">
        <w:rPr>
          <w:rFonts w:cs="Arial"/>
          <w:b/>
          <w:sz w:val="28"/>
          <w:szCs w:val="28"/>
          <w:lang w:bidi="ar-SA"/>
        </w:rPr>
        <w:t xml:space="preserve"> 2024: </w:t>
      </w:r>
      <w:r w:rsidR="00F919A0" w:rsidRPr="00F919A0">
        <w:rPr>
          <w:rFonts w:cs="Arial"/>
          <w:b/>
          <w:sz w:val="28"/>
          <w:szCs w:val="28"/>
          <w:lang w:bidi="ar-SA"/>
        </w:rPr>
        <w:t xml:space="preserve">Highlights der Aussteller am </w:t>
      </w:r>
      <w:r w:rsidR="00F919A0" w:rsidRPr="002F7701">
        <w:rPr>
          <w:rFonts w:cs="Arial"/>
          <w:b/>
          <w:sz w:val="28"/>
          <w:szCs w:val="28"/>
          <w:lang w:bidi="ar-SA"/>
        </w:rPr>
        <w:t>EMVA-Gemeinschaftsstand</w:t>
      </w:r>
    </w:p>
    <w:p w14:paraId="21CA171E" w14:textId="3CE73F65" w:rsidR="002F7701" w:rsidRPr="002F7701" w:rsidRDefault="002F7701" w:rsidP="00794B3E">
      <w:pPr>
        <w:suppressAutoHyphens w:val="0"/>
        <w:spacing w:after="200" w:line="360" w:lineRule="auto"/>
        <w:jc w:val="center"/>
        <w:rPr>
          <w:rFonts w:cs="Arial"/>
          <w:sz w:val="28"/>
          <w:szCs w:val="28"/>
          <w:lang w:bidi="ar-SA"/>
        </w:rPr>
      </w:pPr>
      <w:r w:rsidRPr="002F7701">
        <w:rPr>
          <w:rFonts w:cs="Arial"/>
          <w:sz w:val="28"/>
          <w:szCs w:val="28"/>
          <w:lang w:bidi="ar-SA"/>
        </w:rPr>
        <w:t>Bildverarbeitungstechnologie für Logistikanwendungen</w:t>
      </w:r>
    </w:p>
    <w:p w14:paraId="65D406A0" w14:textId="47098DE8" w:rsidR="00C62490" w:rsidRPr="002F7701" w:rsidRDefault="00C6249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0AFF586D" w14:textId="77777777" w:rsidR="00CF20D0" w:rsidRPr="002F7701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73145803" w14:textId="1D539592" w:rsidR="00F919A0" w:rsidRPr="002F7701" w:rsidRDefault="00C62490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F7701">
        <w:rPr>
          <w:rFonts w:cs="Arial"/>
          <w:i/>
          <w:sz w:val="24"/>
          <w:szCs w:val="24"/>
          <w:lang w:bidi="ar-SA"/>
        </w:rPr>
        <w:t xml:space="preserve">Barcelona, </w:t>
      </w:r>
      <w:r w:rsidR="00FC3C66">
        <w:rPr>
          <w:rFonts w:cs="Arial"/>
          <w:i/>
          <w:sz w:val="24"/>
          <w:szCs w:val="24"/>
          <w:lang w:bidi="ar-SA"/>
        </w:rPr>
        <w:t>1</w:t>
      </w:r>
      <w:r w:rsidR="00987DB4" w:rsidRPr="002F7701">
        <w:rPr>
          <w:rFonts w:cs="Arial"/>
          <w:i/>
          <w:sz w:val="24"/>
          <w:szCs w:val="24"/>
          <w:lang w:bidi="ar-SA"/>
        </w:rPr>
        <w:t>.</w:t>
      </w:r>
      <w:r w:rsidRPr="002F7701">
        <w:rPr>
          <w:rFonts w:cs="Arial"/>
          <w:i/>
          <w:sz w:val="24"/>
          <w:szCs w:val="24"/>
          <w:lang w:bidi="ar-SA"/>
        </w:rPr>
        <w:t xml:space="preserve"> </w:t>
      </w:r>
      <w:r w:rsidR="00F919A0" w:rsidRPr="002F7701">
        <w:rPr>
          <w:rFonts w:cs="Arial"/>
          <w:i/>
          <w:sz w:val="24"/>
          <w:szCs w:val="24"/>
          <w:lang w:bidi="ar-SA"/>
        </w:rPr>
        <w:t>März</w:t>
      </w:r>
      <w:r w:rsidR="00BD3FFF" w:rsidRPr="002F7701">
        <w:rPr>
          <w:rFonts w:cs="Arial"/>
          <w:i/>
          <w:sz w:val="24"/>
          <w:szCs w:val="24"/>
          <w:lang w:bidi="ar-SA"/>
        </w:rPr>
        <w:t xml:space="preserve"> 202</w:t>
      </w:r>
      <w:r w:rsidR="00987DB4" w:rsidRPr="002F7701">
        <w:rPr>
          <w:rFonts w:cs="Arial"/>
          <w:i/>
          <w:sz w:val="24"/>
          <w:szCs w:val="24"/>
          <w:lang w:bidi="ar-SA"/>
        </w:rPr>
        <w:t>4</w:t>
      </w:r>
      <w:r w:rsidRPr="002F7701">
        <w:rPr>
          <w:rFonts w:cs="Arial"/>
          <w:sz w:val="24"/>
          <w:szCs w:val="24"/>
          <w:lang w:bidi="ar-SA"/>
        </w:rPr>
        <w:t xml:space="preserve">. </w:t>
      </w:r>
      <w:r w:rsidR="00F919A0" w:rsidRPr="002F7701">
        <w:rPr>
          <w:rFonts w:cs="Arial"/>
          <w:sz w:val="24"/>
          <w:szCs w:val="24"/>
          <w:lang w:bidi="ar-SA"/>
        </w:rPr>
        <w:t xml:space="preserve">Auf der diesjährigen </w:t>
      </w:r>
      <w:proofErr w:type="spellStart"/>
      <w:r w:rsidR="00F919A0" w:rsidRPr="002F7701">
        <w:rPr>
          <w:rFonts w:cs="Arial"/>
          <w:sz w:val="24"/>
          <w:szCs w:val="24"/>
          <w:lang w:bidi="ar-SA"/>
        </w:rPr>
        <w:t>LogiMAT</w:t>
      </w:r>
      <w:proofErr w:type="spellEnd"/>
      <w:r w:rsidR="00F919A0" w:rsidRPr="002F7701">
        <w:rPr>
          <w:rFonts w:cs="Arial"/>
          <w:sz w:val="24"/>
          <w:szCs w:val="24"/>
          <w:lang w:bidi="ar-SA"/>
        </w:rPr>
        <w:t xml:space="preserve"> vom 19. - 21. März auf der Messe Stuttgart werden Vision-Anwendungen so präsent sein wie nie zuvor. Erstmals ist dort die European </w:t>
      </w:r>
      <w:proofErr w:type="spellStart"/>
      <w:r w:rsidR="00F919A0" w:rsidRPr="002F7701">
        <w:rPr>
          <w:rFonts w:cs="Arial"/>
          <w:sz w:val="24"/>
          <w:szCs w:val="24"/>
          <w:lang w:bidi="ar-SA"/>
        </w:rPr>
        <w:t>Machine</w:t>
      </w:r>
      <w:proofErr w:type="spellEnd"/>
      <w:r w:rsidR="00F919A0" w:rsidRPr="002F7701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="00F919A0" w:rsidRPr="002F7701">
        <w:rPr>
          <w:rFonts w:cs="Arial"/>
          <w:sz w:val="24"/>
          <w:szCs w:val="24"/>
          <w:lang w:bidi="ar-SA"/>
        </w:rPr>
        <w:t>Association</w:t>
      </w:r>
      <w:proofErr w:type="spellEnd"/>
      <w:r w:rsidR="00F919A0" w:rsidRPr="002F7701">
        <w:rPr>
          <w:rFonts w:cs="Arial"/>
          <w:sz w:val="24"/>
          <w:szCs w:val="24"/>
          <w:lang w:bidi="ar-SA"/>
        </w:rPr>
        <w:t xml:space="preserve"> mit einem Gemeinschaftsstand </w:t>
      </w:r>
      <w:r w:rsidR="002F7701" w:rsidRPr="002F7701">
        <w:rPr>
          <w:rFonts w:cs="Arial"/>
          <w:sz w:val="24"/>
          <w:szCs w:val="24"/>
          <w:lang w:bidi="ar-SA"/>
        </w:rPr>
        <w:t xml:space="preserve">(Halle 2, Stand 2C18) </w:t>
      </w:r>
      <w:r w:rsidR="00F919A0" w:rsidRPr="002F7701">
        <w:rPr>
          <w:rFonts w:cs="Arial"/>
          <w:sz w:val="24"/>
          <w:szCs w:val="24"/>
          <w:lang w:bidi="ar-SA"/>
        </w:rPr>
        <w:t xml:space="preserve">vertreten, auf dem sieben Verbandsmitglieder </w:t>
      </w:r>
      <w:proofErr w:type="spellStart"/>
      <w:r w:rsidR="00F919A0" w:rsidRPr="002F7701">
        <w:rPr>
          <w:rFonts w:cs="Arial"/>
          <w:sz w:val="24"/>
          <w:szCs w:val="24"/>
          <w:lang w:bidi="ar-SA"/>
        </w:rPr>
        <w:t>VisionTech</w:t>
      </w:r>
      <w:proofErr w:type="spellEnd"/>
      <w:r w:rsidR="00F919A0" w:rsidRPr="002F7701">
        <w:rPr>
          <w:rFonts w:cs="Arial"/>
          <w:sz w:val="24"/>
          <w:szCs w:val="24"/>
          <w:lang w:bidi="ar-SA"/>
        </w:rPr>
        <w:t xml:space="preserve">-Lösungen mit hohem Anwendernutzten für den Logistiksektor zeigen werden. </w:t>
      </w:r>
    </w:p>
    <w:p w14:paraId="4108F530" w14:textId="77777777" w:rsidR="00F919A0" w:rsidRPr="002F7701" w:rsidRDefault="00F919A0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E816B5D" w14:textId="397FBAFE" w:rsidR="00F919A0" w:rsidRPr="002F7701" w:rsidRDefault="00F919A0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F7701">
        <w:rPr>
          <w:rFonts w:cs="Arial"/>
          <w:sz w:val="24"/>
          <w:szCs w:val="24"/>
          <w:lang w:bidi="ar-SA"/>
        </w:rPr>
        <w:t xml:space="preserve">Dazu gehören die flexiblen Prüfstationen für Pakete oder Produkte auf Förderbändern von Mitaussteller </w:t>
      </w:r>
      <w:proofErr w:type="spellStart"/>
      <w:r w:rsidRPr="002F7701">
        <w:rPr>
          <w:rFonts w:cs="Arial"/>
          <w:sz w:val="24"/>
          <w:szCs w:val="24"/>
          <w:lang w:bidi="ar-SA"/>
        </w:rPr>
        <w:t>phil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-vision in gleicher Weise wie die von </w:t>
      </w:r>
      <w:proofErr w:type="spellStart"/>
      <w:r w:rsidRPr="002F7701">
        <w:rPr>
          <w:rFonts w:cs="Arial"/>
          <w:sz w:val="24"/>
          <w:szCs w:val="24"/>
          <w:lang w:bidi="ar-SA"/>
        </w:rPr>
        <w:t>Vecow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 präsentierte Zeitsynchronisationstechnologie für mobile Roboter und Fahrzeuge. </w:t>
      </w:r>
      <w:proofErr w:type="spellStart"/>
      <w:r w:rsidRPr="002F7701">
        <w:rPr>
          <w:rFonts w:cs="Arial"/>
          <w:sz w:val="24"/>
          <w:szCs w:val="24"/>
          <w:lang w:bidi="ar-SA"/>
        </w:rPr>
        <w:t>Advantech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 zeigt sein Programm an KI-gestützten </w:t>
      </w:r>
      <w:proofErr w:type="spellStart"/>
      <w:r w:rsidRPr="002F7701">
        <w:rPr>
          <w:rFonts w:cs="Arial"/>
          <w:sz w:val="24"/>
          <w:szCs w:val="24"/>
          <w:lang w:bidi="ar-SA"/>
        </w:rPr>
        <w:t>Jetson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 Plattformen, Computersystemen und Industriekameras. </w:t>
      </w:r>
      <w:r w:rsidR="002F7701" w:rsidRPr="002F7701">
        <w:rPr>
          <w:rFonts w:cs="Arial"/>
          <w:sz w:val="24"/>
          <w:szCs w:val="24"/>
          <w:lang w:bidi="ar-SA"/>
        </w:rPr>
        <w:t xml:space="preserve">Das Fraunhofer-Institut für Fabrikbetrieb und -automatisierung IFF zeigt drei Entwicklungen: Eine LiDAR- und KI-basierte Arbeitsraumanalyse; sowie Live Demos einer sensorbasierten Prozessüberwachung und der Eigenentwicklung RFID-Armband. </w:t>
      </w:r>
      <w:r w:rsidRPr="002F7701">
        <w:rPr>
          <w:rFonts w:cs="Arial"/>
          <w:sz w:val="24"/>
          <w:szCs w:val="24"/>
          <w:lang w:bidi="ar-SA"/>
        </w:rPr>
        <w:t xml:space="preserve">Vision Components legt mit seiner Präsenz den Fokus auf Embedded Vision für OEM-Intralogistikprojekte. </w:t>
      </w:r>
    </w:p>
    <w:p w14:paraId="7600CDC9" w14:textId="537DF26D" w:rsidR="00F919A0" w:rsidRPr="002F7701" w:rsidRDefault="00F919A0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F7701">
        <w:rPr>
          <w:rFonts w:cs="Arial"/>
          <w:sz w:val="24"/>
          <w:szCs w:val="24"/>
          <w:lang w:bidi="ar-SA"/>
        </w:rPr>
        <w:lastRenderedPageBreak/>
        <w:t xml:space="preserve">Eine Messe-Premiere kommt von EMVA-Mitglied </w:t>
      </w:r>
      <w:proofErr w:type="spellStart"/>
      <w:r w:rsidRPr="002F7701">
        <w:rPr>
          <w:rFonts w:cs="Arial"/>
          <w:sz w:val="24"/>
          <w:szCs w:val="24"/>
          <w:lang w:bidi="ar-SA"/>
        </w:rPr>
        <w:t>Roboception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. Der Anbieter von intelligenten Roboter-Vision-Plattformen und –Systemen wird seinen neuesten 3D-Stereosensor erstmals live auf der </w:t>
      </w:r>
      <w:proofErr w:type="spellStart"/>
      <w:r w:rsidRPr="002F7701">
        <w:rPr>
          <w:rFonts w:cs="Arial"/>
          <w:sz w:val="24"/>
          <w:szCs w:val="24"/>
          <w:lang w:bidi="ar-SA"/>
        </w:rPr>
        <w:t>LogiMAT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 2024 präsentieren. </w:t>
      </w:r>
      <w:proofErr w:type="spellStart"/>
      <w:r w:rsidRPr="002F7701">
        <w:rPr>
          <w:rFonts w:cs="Arial"/>
          <w:sz w:val="24"/>
          <w:szCs w:val="24"/>
          <w:lang w:bidi="ar-SA"/>
        </w:rPr>
        <w:t>Murrelektronik</w:t>
      </w:r>
      <w:proofErr w:type="spellEnd"/>
      <w:r w:rsidRPr="002F7701">
        <w:rPr>
          <w:rFonts w:cs="Arial"/>
          <w:sz w:val="24"/>
          <w:szCs w:val="24"/>
          <w:lang w:bidi="ar-SA"/>
        </w:rPr>
        <w:t xml:space="preserve">, spezialisiert auf dezentrale Automatisierungstechnik, zeigt eine schranklose Installation für die industrielle Bildverarbeitung mit industriellem M12-Standard, die live und in Aktion Barcode-Erkennung vorführt. </w:t>
      </w:r>
    </w:p>
    <w:p w14:paraId="2D6122F5" w14:textId="4FAB20C0" w:rsidR="00E228AE" w:rsidRDefault="00E228AE" w:rsidP="00F919A0">
      <w:pPr>
        <w:suppressAutoHyphens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EFF8B0" w14:textId="77777777" w:rsidR="00CF20D0" w:rsidRDefault="00CF20D0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p w14:paraId="3D61B305" w14:textId="77777777" w:rsidR="00E228AE" w:rsidRDefault="00E228AE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p w14:paraId="3D194252" w14:textId="77777777" w:rsidR="00223E71" w:rsidRPr="00F919A0" w:rsidRDefault="00223E71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p w14:paraId="6CDEA79C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29C1405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A680F17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517C976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C98811E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19E4027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84B7022" w14:textId="77777777" w:rsidR="002F7701" w:rsidRDefault="002F770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F0FF35A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1F7C612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1197D9F" w14:textId="77777777" w:rsidR="002F7701" w:rsidRDefault="002F770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9F54295" w14:textId="77777777" w:rsidR="002F7701" w:rsidRDefault="002F770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9767C7A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874483D" w14:textId="77777777" w:rsidR="00C62490" w:rsidRPr="005C5A36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</w:t>
      </w:r>
      <w:proofErr w:type="spellStart"/>
      <w:r w:rsidRPr="001F4E1E">
        <w:rPr>
          <w:rFonts w:cs="Arial"/>
          <w:sz w:val="20"/>
          <w:szCs w:val="20"/>
          <w:lang w:bidi="ar-SA"/>
        </w:rPr>
        <w:t>Machine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Standardisierungs- und Kooperationsaktivitäten der EMVA. </w:t>
      </w:r>
      <w:hyperlink r:id="rId13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67A2D" w14:textId="77777777" w:rsidR="0097533A" w:rsidRDefault="0097533A">
      <w:r>
        <w:separator/>
      </w:r>
    </w:p>
  </w:endnote>
  <w:endnote w:type="continuationSeparator" w:id="0">
    <w:p w14:paraId="75F0A2A6" w14:textId="77777777" w:rsidR="0097533A" w:rsidRDefault="0097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FC3C66" w14:paraId="67DB6744" w14:textId="77777777">
      <w:tc>
        <w:tcPr>
          <w:tcW w:w="3213" w:type="dxa"/>
          <w:shd w:val="clear" w:color="auto" w:fill="auto"/>
        </w:tcPr>
        <w:p w14:paraId="094F712A" w14:textId="1D900796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-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944E951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FC3C66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2DF2FEBC" w14:textId="77777777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3EB4" w14:textId="77777777" w:rsidR="0097533A" w:rsidRDefault="0097533A">
      <w:r>
        <w:separator/>
      </w:r>
    </w:p>
  </w:footnote>
  <w:footnote w:type="continuationSeparator" w:id="0">
    <w:p w14:paraId="40A84BC2" w14:textId="77777777" w:rsidR="0097533A" w:rsidRDefault="00975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FCD0" w14:textId="6917ADF8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D6E3CC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7291" w14:textId="29564678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2962D8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A5D7" w14:textId="7CC3EFF9" w:rsidR="00A05B3F" w:rsidRDefault="00A05B3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24FA" w14:textId="03DA15BA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F1AD" w14:textId="4C79EE9E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1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463804">
    <w:abstractNumId w:val="0"/>
  </w:num>
  <w:num w:numId="2" w16cid:durableId="367029172">
    <w:abstractNumId w:val="7"/>
  </w:num>
  <w:num w:numId="3" w16cid:durableId="29689611">
    <w:abstractNumId w:val="3"/>
  </w:num>
  <w:num w:numId="4" w16cid:durableId="67964564">
    <w:abstractNumId w:val="5"/>
  </w:num>
  <w:num w:numId="5" w16cid:durableId="680207576">
    <w:abstractNumId w:val="10"/>
  </w:num>
  <w:num w:numId="6" w16cid:durableId="88551412">
    <w:abstractNumId w:val="1"/>
  </w:num>
  <w:num w:numId="7" w16cid:durableId="873617754">
    <w:abstractNumId w:val="9"/>
  </w:num>
  <w:num w:numId="8" w16cid:durableId="1593002611">
    <w:abstractNumId w:val="8"/>
  </w:num>
  <w:num w:numId="9" w16cid:durableId="1664240940">
    <w:abstractNumId w:val="11"/>
  </w:num>
  <w:num w:numId="10" w16cid:durableId="313411769">
    <w:abstractNumId w:val="6"/>
  </w:num>
  <w:num w:numId="11" w16cid:durableId="1812289800">
    <w:abstractNumId w:val="4"/>
  </w:num>
  <w:num w:numId="12" w16cid:durableId="1306937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89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D39E7"/>
    <w:rsid w:val="000F2333"/>
    <w:rsid w:val="000F2AEE"/>
    <w:rsid w:val="000F30B0"/>
    <w:rsid w:val="00115A0E"/>
    <w:rsid w:val="00152585"/>
    <w:rsid w:val="0015458D"/>
    <w:rsid w:val="001702E5"/>
    <w:rsid w:val="00172697"/>
    <w:rsid w:val="00172A84"/>
    <w:rsid w:val="00175D80"/>
    <w:rsid w:val="001A1B78"/>
    <w:rsid w:val="001D7B16"/>
    <w:rsid w:val="001F4E1E"/>
    <w:rsid w:val="001F604B"/>
    <w:rsid w:val="00206BB5"/>
    <w:rsid w:val="00223E71"/>
    <w:rsid w:val="0023223F"/>
    <w:rsid w:val="00237A9E"/>
    <w:rsid w:val="002579F2"/>
    <w:rsid w:val="00274A44"/>
    <w:rsid w:val="002A2E44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B4957"/>
    <w:rsid w:val="003B4DD5"/>
    <w:rsid w:val="003D0E3A"/>
    <w:rsid w:val="003D4580"/>
    <w:rsid w:val="003D4648"/>
    <w:rsid w:val="003E7FED"/>
    <w:rsid w:val="00413FB4"/>
    <w:rsid w:val="00462646"/>
    <w:rsid w:val="004815EC"/>
    <w:rsid w:val="00495E93"/>
    <w:rsid w:val="004A0B93"/>
    <w:rsid w:val="004B313C"/>
    <w:rsid w:val="004B6897"/>
    <w:rsid w:val="004B6F87"/>
    <w:rsid w:val="004C79D6"/>
    <w:rsid w:val="004D1192"/>
    <w:rsid w:val="004D3D77"/>
    <w:rsid w:val="004D53EA"/>
    <w:rsid w:val="004E706A"/>
    <w:rsid w:val="005158A3"/>
    <w:rsid w:val="005552A8"/>
    <w:rsid w:val="005565F0"/>
    <w:rsid w:val="00574001"/>
    <w:rsid w:val="0058658C"/>
    <w:rsid w:val="005A4DBB"/>
    <w:rsid w:val="005B30C6"/>
    <w:rsid w:val="005C5A36"/>
    <w:rsid w:val="005C6317"/>
    <w:rsid w:val="005E1056"/>
    <w:rsid w:val="005E4F9A"/>
    <w:rsid w:val="005F1AB3"/>
    <w:rsid w:val="005F3329"/>
    <w:rsid w:val="006251BB"/>
    <w:rsid w:val="00645D69"/>
    <w:rsid w:val="0064673E"/>
    <w:rsid w:val="00660B96"/>
    <w:rsid w:val="006724BF"/>
    <w:rsid w:val="006804DC"/>
    <w:rsid w:val="00691C3F"/>
    <w:rsid w:val="0069685A"/>
    <w:rsid w:val="006D118A"/>
    <w:rsid w:val="00714BA4"/>
    <w:rsid w:val="00734858"/>
    <w:rsid w:val="00735E3B"/>
    <w:rsid w:val="007455F0"/>
    <w:rsid w:val="00755E99"/>
    <w:rsid w:val="00774D96"/>
    <w:rsid w:val="00794B3E"/>
    <w:rsid w:val="0079795E"/>
    <w:rsid w:val="007B12E0"/>
    <w:rsid w:val="007C1F3F"/>
    <w:rsid w:val="00801BD7"/>
    <w:rsid w:val="00840F19"/>
    <w:rsid w:val="00860167"/>
    <w:rsid w:val="00865E6E"/>
    <w:rsid w:val="00892C63"/>
    <w:rsid w:val="00895B39"/>
    <w:rsid w:val="008A0638"/>
    <w:rsid w:val="008A565A"/>
    <w:rsid w:val="008C762C"/>
    <w:rsid w:val="008D7E6B"/>
    <w:rsid w:val="008F7D25"/>
    <w:rsid w:val="00914F06"/>
    <w:rsid w:val="00933C26"/>
    <w:rsid w:val="009536F1"/>
    <w:rsid w:val="009548F8"/>
    <w:rsid w:val="0097533A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917C9"/>
    <w:rsid w:val="00AC52B3"/>
    <w:rsid w:val="00B05738"/>
    <w:rsid w:val="00B43DD3"/>
    <w:rsid w:val="00B5193B"/>
    <w:rsid w:val="00B64701"/>
    <w:rsid w:val="00B76FC6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51580"/>
    <w:rsid w:val="00C55C30"/>
    <w:rsid w:val="00C62490"/>
    <w:rsid w:val="00C66559"/>
    <w:rsid w:val="00C73CA1"/>
    <w:rsid w:val="00C937FD"/>
    <w:rsid w:val="00C94A05"/>
    <w:rsid w:val="00CB4A8E"/>
    <w:rsid w:val="00CC5B33"/>
    <w:rsid w:val="00CD108E"/>
    <w:rsid w:val="00CF20D0"/>
    <w:rsid w:val="00CF3E09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E15B04"/>
    <w:rsid w:val="00E228AE"/>
    <w:rsid w:val="00E3224D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F5E81"/>
    <w:rsid w:val="00F0451D"/>
    <w:rsid w:val="00F23425"/>
    <w:rsid w:val="00F253D9"/>
    <w:rsid w:val="00F2623C"/>
    <w:rsid w:val="00F337FF"/>
    <w:rsid w:val="00F33AE4"/>
    <w:rsid w:val="00F56AE4"/>
    <w:rsid w:val="00F875B7"/>
    <w:rsid w:val="00F919A0"/>
    <w:rsid w:val="00FB4551"/>
    <w:rsid w:val="00FB6581"/>
    <w:rsid w:val="00FC3C66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9687A"/>
  <w15:docId w15:val="{0D88E2E0-E0BD-3446-88F5-32BF1BA5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mva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7D4973-5825-4554-B2BD-5DC666D71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C66AA-5FFD-44AF-B8BB-BC5A1C8E7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642751-711C-43B1-8B11-007256B9F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23</cp:revision>
  <cp:lastPrinted>2022-11-10T16:06:00Z</cp:lastPrinted>
  <dcterms:created xsi:type="dcterms:W3CDTF">2023-10-18T14:19:00Z</dcterms:created>
  <dcterms:modified xsi:type="dcterms:W3CDTF">2024-02-29T16:09:00Z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